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4608"/>
        <w:gridCol w:w="4248"/>
      </w:tblGrid>
      <w:tr w:rsidR="00DD5DD0" w:rsidRPr="00DD5DD0" w:rsidTr="00DD5DD0">
        <w:trPr>
          <w:tblCellSpacing w:w="0" w:type="dxa"/>
        </w:trPr>
        <w:tc>
          <w:tcPr>
            <w:tcW w:w="4608" w:type="dxa"/>
            <w:tcMar>
              <w:top w:w="0" w:type="dxa"/>
              <w:left w:w="108" w:type="dxa"/>
              <w:bottom w:w="0" w:type="dxa"/>
              <w:right w:w="108" w:type="dxa"/>
            </w:tcMar>
            <w:hideMark/>
          </w:tcPr>
          <w:p w:rsidR="00DD5DD0" w:rsidRPr="00DD5DD0" w:rsidRDefault="00DD5DD0" w:rsidP="00DD5DD0">
            <w:pPr>
              <w:spacing w:before="100" w:beforeAutospacing="1" w:after="120" w:line="240" w:lineRule="auto"/>
              <w:jc w:val="center"/>
              <w:rPr>
                <w:rFonts w:eastAsia="Times New Roman" w:cs="Times New Roman"/>
                <w:sz w:val="24"/>
                <w:szCs w:val="24"/>
              </w:rPr>
            </w:pPr>
            <w:r w:rsidRPr="00DD5DD0">
              <w:rPr>
                <w:rFonts w:eastAsia="Times New Roman" w:cs="Times New Roman"/>
                <w:b/>
                <w:bCs/>
                <w:sz w:val="24"/>
                <w:szCs w:val="24"/>
              </w:rPr>
              <w:t>BAN CHẤP HÀNH TRUNG ƯƠNG</w:t>
            </w:r>
            <w:r w:rsidRPr="00DD5DD0">
              <w:rPr>
                <w:rFonts w:eastAsia="Times New Roman" w:cs="Times New Roman"/>
                <w:b/>
                <w:bCs/>
                <w:sz w:val="24"/>
                <w:szCs w:val="24"/>
              </w:rPr>
              <w:br/>
              <w:t>--------</w:t>
            </w:r>
          </w:p>
        </w:tc>
        <w:tc>
          <w:tcPr>
            <w:tcW w:w="4248" w:type="dxa"/>
            <w:tcMar>
              <w:top w:w="0" w:type="dxa"/>
              <w:left w:w="108" w:type="dxa"/>
              <w:bottom w:w="0" w:type="dxa"/>
              <w:right w:w="108" w:type="dxa"/>
            </w:tcMar>
            <w:hideMark/>
          </w:tcPr>
          <w:p w:rsidR="00DD5DD0" w:rsidRPr="00DD5DD0" w:rsidRDefault="00DD5DD0" w:rsidP="00DD5DD0">
            <w:pPr>
              <w:spacing w:before="100" w:beforeAutospacing="1" w:after="120" w:line="240" w:lineRule="auto"/>
              <w:jc w:val="center"/>
              <w:rPr>
                <w:rFonts w:eastAsia="Times New Roman" w:cs="Times New Roman"/>
                <w:sz w:val="24"/>
                <w:szCs w:val="24"/>
              </w:rPr>
            </w:pPr>
            <w:r w:rsidRPr="00DD5DD0">
              <w:rPr>
                <w:rFonts w:eastAsia="Times New Roman" w:cs="Times New Roman"/>
                <w:b/>
                <w:bCs/>
                <w:sz w:val="24"/>
                <w:szCs w:val="24"/>
              </w:rPr>
              <w:t>ĐẢNG CỘNG SẢN VIỆT NAM</w:t>
            </w:r>
            <w:r w:rsidRPr="00DD5DD0">
              <w:rPr>
                <w:rFonts w:eastAsia="Times New Roman" w:cs="Times New Roman"/>
                <w:b/>
                <w:bCs/>
                <w:sz w:val="24"/>
                <w:szCs w:val="24"/>
              </w:rPr>
              <w:br/>
              <w:t>----------------</w:t>
            </w:r>
          </w:p>
        </w:tc>
      </w:tr>
      <w:tr w:rsidR="00DD5DD0" w:rsidRPr="00DD5DD0" w:rsidTr="00DD5DD0">
        <w:trPr>
          <w:tblCellSpacing w:w="0" w:type="dxa"/>
        </w:trPr>
        <w:tc>
          <w:tcPr>
            <w:tcW w:w="4608" w:type="dxa"/>
            <w:tcMar>
              <w:top w:w="0" w:type="dxa"/>
              <w:left w:w="108" w:type="dxa"/>
              <w:bottom w:w="0" w:type="dxa"/>
              <w:right w:w="108" w:type="dxa"/>
            </w:tcMar>
            <w:hideMark/>
          </w:tcPr>
          <w:p w:rsidR="00DD5DD0" w:rsidRPr="00DD5DD0" w:rsidRDefault="00DD5DD0" w:rsidP="00DD5DD0">
            <w:pPr>
              <w:spacing w:before="100" w:beforeAutospacing="1" w:after="120" w:line="240" w:lineRule="auto"/>
              <w:jc w:val="center"/>
              <w:rPr>
                <w:rFonts w:eastAsia="Times New Roman" w:cs="Times New Roman"/>
                <w:sz w:val="24"/>
                <w:szCs w:val="24"/>
              </w:rPr>
            </w:pPr>
            <w:r w:rsidRPr="00DD5DD0">
              <w:rPr>
                <w:rFonts w:eastAsia="Times New Roman" w:cs="Times New Roman"/>
                <w:sz w:val="24"/>
                <w:szCs w:val="24"/>
              </w:rPr>
              <w:t>Số: 14-CT/TW</w:t>
            </w:r>
          </w:p>
        </w:tc>
        <w:tc>
          <w:tcPr>
            <w:tcW w:w="4248" w:type="dxa"/>
            <w:tcMar>
              <w:top w:w="0" w:type="dxa"/>
              <w:left w:w="108" w:type="dxa"/>
              <w:bottom w:w="0" w:type="dxa"/>
              <w:right w:w="108" w:type="dxa"/>
            </w:tcMar>
            <w:hideMark/>
          </w:tcPr>
          <w:p w:rsidR="00DD5DD0" w:rsidRPr="00DD5DD0" w:rsidRDefault="00DD5DD0" w:rsidP="00DD5DD0">
            <w:pPr>
              <w:spacing w:before="100" w:beforeAutospacing="1" w:after="120" w:line="240" w:lineRule="auto"/>
              <w:jc w:val="right"/>
              <w:rPr>
                <w:rFonts w:eastAsia="Times New Roman" w:cs="Times New Roman"/>
                <w:sz w:val="24"/>
                <w:szCs w:val="24"/>
              </w:rPr>
            </w:pPr>
            <w:r w:rsidRPr="00DD5DD0">
              <w:rPr>
                <w:rFonts w:eastAsia="Times New Roman" w:cs="Times New Roman"/>
                <w:i/>
                <w:iCs/>
                <w:sz w:val="24"/>
                <w:szCs w:val="24"/>
              </w:rPr>
              <w:t>Hà Nội, ngày 19 tháng 7 năm 2017</w:t>
            </w:r>
          </w:p>
        </w:tc>
      </w:tr>
    </w:tbl>
    <w:p w:rsidR="00DD5DD0" w:rsidRPr="00DD5DD0" w:rsidRDefault="00DD5DD0" w:rsidP="00DD5DD0">
      <w:pPr>
        <w:spacing w:before="100" w:beforeAutospacing="1" w:after="120" w:line="240" w:lineRule="auto"/>
        <w:rPr>
          <w:rFonts w:eastAsia="Times New Roman" w:cs="Times New Roman"/>
          <w:sz w:val="24"/>
          <w:szCs w:val="24"/>
        </w:rPr>
      </w:pPr>
      <w:r w:rsidRPr="00DD5DD0">
        <w:rPr>
          <w:rFonts w:eastAsia="Times New Roman" w:cs="Times New Roman"/>
          <w:sz w:val="24"/>
          <w:szCs w:val="24"/>
        </w:rPr>
        <w:t> </w:t>
      </w:r>
    </w:p>
    <w:p w:rsidR="00DD5DD0" w:rsidRPr="00DD5DD0" w:rsidRDefault="00DD5DD0" w:rsidP="00D86CE6">
      <w:pPr>
        <w:spacing w:before="100" w:beforeAutospacing="1" w:after="120" w:line="240" w:lineRule="auto"/>
        <w:jc w:val="center"/>
        <w:rPr>
          <w:rFonts w:eastAsia="Times New Roman" w:cs="Times New Roman"/>
          <w:szCs w:val="28"/>
        </w:rPr>
      </w:pPr>
      <w:r w:rsidRPr="00DD5DD0">
        <w:rPr>
          <w:rFonts w:eastAsia="Times New Roman" w:cs="Times New Roman"/>
          <w:b/>
          <w:bCs/>
          <w:szCs w:val="28"/>
        </w:rPr>
        <w:t>CHỈ THỊ CỦA BAN BÍ THƯ</w:t>
      </w:r>
    </w:p>
    <w:p w:rsidR="00DD5DD0" w:rsidRPr="00DD5DD0" w:rsidRDefault="00DD5DD0" w:rsidP="00D86CE6">
      <w:pPr>
        <w:spacing w:before="100" w:beforeAutospacing="1" w:after="120" w:line="240" w:lineRule="auto"/>
        <w:jc w:val="center"/>
        <w:rPr>
          <w:rFonts w:eastAsia="Times New Roman" w:cs="Times New Roman"/>
          <w:szCs w:val="28"/>
        </w:rPr>
      </w:pPr>
      <w:r w:rsidRPr="00DD5DD0">
        <w:rPr>
          <w:rFonts w:eastAsia="Times New Roman" w:cs="Times New Roman"/>
          <w:szCs w:val="28"/>
        </w:rPr>
        <w:t>VỀ TIẾP TỤC TĂNG CƯỜNG SỰ LÃNH ĐẠO CỦA ĐẢNG ĐỐI VỚI CÔNG TÁC NGƯỜI CÓ CÔNG VỚI CÁCH MẠNG</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Thời gian qua, nhất là từ khi thực hiện Chỉ thị số 07 của Ban Bí thư khoá X về tăng cường sự lãnh đạo, chỉ đạo công tác thương binh, liệt sĩ, người có công và phong trào "Đền ơn đáp nghĩa"; công tác người có công với cách mạng đã được các cấp uỷ, tổ chức đảng, chính quyền triển khai thực hiện và đạt được nhiều kết quả quan trọng. Hệ thống pháp luật, chính sách về người có công với cách mạng từng bước được hoàn thiện; đối tượng chính sách người có công với cách mạng được mở rộng; việc xây dựng, nâng cấp, tu bổ mộ liệt sĩ, nghĩa trang liệt sĩ, công trình ghi công liệt sĩ được quan tâm đầu tư; công tác tìm kiếm, quy tập hài cốt liệt sĩ, xác định danh tính hài cốt liệt sĩ được triển khai tích cực. Phong trào "Toàn dân chăm sóc các gia đình thương binh, liệt sĩ và người có công với cách mạng", ủng hộ quỹ "Đền ơn đáp nghĩa" ngày càng phát triển sâu rộng, được xã hội đồng tình, hưởng ứng; đời sống của gia đình người có công với cách mạng không ngừng được cải thiện; nhiều thương binh, bệnh binh, thân nhân liệt sĩ đã có ý chí vươn lên, tiếp tục có nhiều đóng góp vào sự nghiệp xây dựng và phát triển đất nước.</w:t>
      </w:r>
    </w:p>
    <w:p w:rsidR="00DD5DD0" w:rsidRPr="00DD5DD0" w:rsidRDefault="00DD5DD0" w:rsidP="00DD5DD0">
      <w:pPr>
        <w:spacing w:before="100" w:beforeAutospacing="1" w:after="120" w:line="240" w:lineRule="auto"/>
        <w:jc w:val="both"/>
        <w:rPr>
          <w:rFonts w:eastAsia="Times New Roman" w:cs="Times New Roman"/>
          <w:szCs w:val="28"/>
        </w:rPr>
      </w:pPr>
      <w:proofErr w:type="gramStart"/>
      <w:r w:rsidRPr="00DD5DD0">
        <w:rPr>
          <w:rFonts w:eastAsia="Times New Roman" w:cs="Times New Roman"/>
          <w:szCs w:val="28"/>
        </w:rPr>
        <w:t>Bên cạnh những kết quả đạt được, công tác người có công với cách mạng vẫn còn những hạn chế nhất định.</w:t>
      </w:r>
      <w:proofErr w:type="gramEnd"/>
      <w:r w:rsidRPr="00DD5DD0">
        <w:rPr>
          <w:rFonts w:eastAsia="Times New Roman" w:cs="Times New Roman"/>
          <w:szCs w:val="28"/>
        </w:rPr>
        <w:t xml:space="preserve"> Một bộ phận người có công với cách mạng vẫn chưa được xác nhận; số liệt sĩ chưa tìm thấy hài cốt hoặc chưa xác định được danh tính còn nhiều; việc huy động, bố trí các nguồn lực thực hiện chính sách ưu đãi người có công với cách mạng còn hạn chế; một số nghĩa trang, công trình ghi công liệt sĩ xuống cấp chưa được quan tâm tu bổ, tôn tạo; đời sống của một bộ phận gia đình người có công với cách mạng còn nhiều khó khăn, nhất là ở các vùng sâu, vùng xa, vùng dân tộc thiểu số; tình trạng khai man hồ sơ, trục lợi chính sách vẫn còn xảy ra, gây bức xúc trong xã hội.</w:t>
      </w:r>
    </w:p>
    <w:p w:rsidR="00DD5DD0" w:rsidRPr="00DD5DD0" w:rsidRDefault="00DD5DD0" w:rsidP="00DD5DD0">
      <w:pPr>
        <w:spacing w:before="100" w:beforeAutospacing="1" w:after="120" w:line="240" w:lineRule="auto"/>
        <w:jc w:val="both"/>
        <w:rPr>
          <w:rFonts w:eastAsia="Times New Roman" w:cs="Times New Roman"/>
          <w:szCs w:val="28"/>
        </w:rPr>
      </w:pPr>
      <w:proofErr w:type="gramStart"/>
      <w:r w:rsidRPr="00DD5DD0">
        <w:rPr>
          <w:rFonts w:eastAsia="Times New Roman" w:cs="Times New Roman"/>
          <w:szCs w:val="28"/>
        </w:rPr>
        <w:t>Những hạn chế nêu trên có nhiều nguyên nhân, nhưng nguyên nhân chủ quan là chủ yếu.</w:t>
      </w:r>
      <w:proofErr w:type="gramEnd"/>
      <w:r w:rsidRPr="00DD5DD0">
        <w:rPr>
          <w:rFonts w:eastAsia="Times New Roman" w:cs="Times New Roman"/>
          <w:szCs w:val="28"/>
        </w:rPr>
        <w:t xml:space="preserve"> Một số cấp uỷ, tổ chức đảng, chính quyền, cán bộ, đảng viên chưa nhận thức đầy đủ và quan tâm sâu sắc về công tác người có công với cách mạng. </w:t>
      </w:r>
      <w:proofErr w:type="gramStart"/>
      <w:r w:rsidRPr="00DD5DD0">
        <w:rPr>
          <w:rFonts w:eastAsia="Times New Roman" w:cs="Times New Roman"/>
          <w:szCs w:val="28"/>
        </w:rPr>
        <w:t>Luật pháp, chính sách người có công vẫn còn có những bất cập.</w:t>
      </w:r>
      <w:proofErr w:type="gramEnd"/>
      <w:r w:rsidRPr="00DD5DD0">
        <w:rPr>
          <w:rFonts w:eastAsia="Times New Roman" w:cs="Times New Roman"/>
          <w:szCs w:val="28"/>
        </w:rPr>
        <w:t xml:space="preserve"> Công tác quản lý nhà nước có mặt còn hạn chế, cải cách hành chính chưa đáp ứng được yêu cầu; công tác thanh tra, kiểm tra, giám sát việc thực hiện chính sách người có công với cách </w:t>
      </w:r>
      <w:r w:rsidRPr="00DD5DD0">
        <w:rPr>
          <w:rFonts w:eastAsia="Times New Roman" w:cs="Times New Roman"/>
          <w:szCs w:val="28"/>
        </w:rPr>
        <w:lastRenderedPageBreak/>
        <w:t>mạng thiếu thường xuyên; việc phát hiện sai sót và xử lý các vi phạm có lúc, có nơi thiếu triệt để.</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Nhằm khắc phục những hạn chế nêu trên, thực hiện tốt hơn nữa công tác người có công với cách mạng; phấn đấu đến năm 2020, 100% gia đình người có công với cách mạng có mức sống bằng hoặc cao hơn mức trung bình của cộng đồng dân cư nơi cư trú, Ban Bí thư yêu cầu các cấp uỷ, tổ chức đảng, chính quyền, Mặt trận Tổ quốc, các tổ chức chính trị - xã hội, tổ chức xã hội - nghề nghiệp, người đứng đầu các cơ quan, đơn vị tập trung thực hiện nghiêm túc, có hiệu quả các nhiệm vụ sau:</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1- Lãnh đạo, chỉ đạo, quán triệt sâu sắc các quan điểm, chủ trương của Đảng, luật pháp, chính sách của Nhà nước về công tác người có công với cách mạng; tăng cường công tác tuyên truyền, giáo dục chính trị, tư tưởng, nâng cao nhận thức trong cán bộ, đảng viên, công chức, viên chức và các tầng lớp nhân dân, đặc biệt là thế hệ trẻ về sự hy sinh, đóng góp to lớn của các thế hệ người có công với cách mạng; xác định việc chăm lo, thực hiện chính sách ưu đãi người có công với cách mạng là bổn phận, nhiệm vụ thường xuyên, lâu dài của cả hệ thống chính trị và toàn xã hội.</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2- Nâng cao năng lực, hiệu lực, hiệu quả quản lý nhà nước đối với công tác người có công với cách mạng. Nghiên cứu, ban hành Pháp lệnh thay thế Pháp lệnh Ưu đãi người có công với cách mạng hiện hành; rà soát, hoàn thiện hệ thống luật pháp, chính sách người có công với cách mạng, bảo đảm tính thống nhất, đồng bộ, phù hợp với thực tiễn. Nghiên cứu, thực hiện chế độ, chính sách đối với người Việt Nam có công với cách mạng, người tham gia kháng chiến, bảo vệ Tổ quốc và làm nhiệm vụ quốc tế, người có công giúp đỡ cách mạng Việt Nam đang định cư ở nước ngoài; chính sách đối với người bị ảnh hưởng bởi chất độc hoá học thế hệ thứ 3 của người tham gia kháng chiến bị ảnh hưởng bởi chất độc hoá học; người tham gia kháng chiến trong giai đoạn 1974 - 1975 nhưng chưa đủ thời gian được cấp Huy chương.</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Đẩy mạnh cải cách hành chính, ứng dụng công nghệ thông tin, tăng cường sự phối hợp hiệu quả giữa các bộ, ban, ngành Trung ương và địa phương trong thực hiện công tác người có công với cách mạng; chú trọng đào tạo, bồi dưỡng, nâng cao trình độ chuyên môn, nghiệp vụ, ý thức, trách nhiệm của những người làm công tác này. Thực hiện tốt công tác thanh tra, kiểm tra, giám sát, kịp thời phát hiện, ngăn chặn và xử lý nghiêm các vi phạm trong thực hiện luật pháp, chính sách đối với người có công với cách mạng.</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 xml:space="preserve">3- Tổ chức tổng kết, rà soát việc công nhận người có công với cách mạng </w:t>
      </w:r>
      <w:proofErr w:type="gramStart"/>
      <w:r w:rsidRPr="00DD5DD0">
        <w:rPr>
          <w:rFonts w:eastAsia="Times New Roman" w:cs="Times New Roman"/>
          <w:szCs w:val="28"/>
        </w:rPr>
        <w:t>theo</w:t>
      </w:r>
      <w:proofErr w:type="gramEnd"/>
      <w:r w:rsidRPr="00DD5DD0">
        <w:rPr>
          <w:rFonts w:eastAsia="Times New Roman" w:cs="Times New Roman"/>
          <w:szCs w:val="28"/>
        </w:rPr>
        <w:t xml:space="preserve"> Kết luận số 63-KL/TW, ngày 27/5/2013 của Ban Chấp hành Trung ương khoá XI. </w:t>
      </w:r>
      <w:proofErr w:type="gramStart"/>
      <w:r w:rsidRPr="00DD5DD0">
        <w:rPr>
          <w:rFonts w:eastAsia="Times New Roman" w:cs="Times New Roman"/>
          <w:szCs w:val="28"/>
        </w:rPr>
        <w:t xml:space="preserve">Trên cơ sở các quy định của pháp luật, đẩy nhanh tiến độ xác nhận người có công với cách mạng, giải quyết hồ sơ tồn đọng, bảo đảm công khai, minh bạch, đúng đối </w:t>
      </w:r>
      <w:r w:rsidRPr="00DD5DD0">
        <w:rPr>
          <w:rFonts w:eastAsia="Times New Roman" w:cs="Times New Roman"/>
          <w:szCs w:val="28"/>
        </w:rPr>
        <w:lastRenderedPageBreak/>
        <w:t>tượng và không để sót.</w:t>
      </w:r>
      <w:proofErr w:type="gramEnd"/>
      <w:r w:rsidRPr="00DD5DD0">
        <w:rPr>
          <w:rFonts w:eastAsia="Times New Roman" w:cs="Times New Roman"/>
          <w:szCs w:val="28"/>
        </w:rPr>
        <w:t xml:space="preserve"> Nghiên cứu, xem xét xác nhận người có công với cách mạng đối với những trường hợp do trước đây chưa đủ điều kiện xác nhận, hoặc đã được cơ quan có thẩm quyền kết luận là không đủ điều kiện, nhưng nay có thêm được cơ sở, căn cứ xác nhận khác theo quy định. </w:t>
      </w:r>
      <w:proofErr w:type="gramStart"/>
      <w:r w:rsidRPr="00DD5DD0">
        <w:rPr>
          <w:rFonts w:eastAsia="Times New Roman" w:cs="Times New Roman"/>
          <w:szCs w:val="28"/>
        </w:rPr>
        <w:t>Phấn đấu đến năm 2020, giải quyết cơ bản hồ sơ đề nghị xác nhận người có công với cách mạng còn tồn đọng; từng bước rà soát, phân loại và có hướng giải quyết đối với các đối tượng người có công với cách mạng còn tồn đọng ở cấp cơ sở.</w:t>
      </w:r>
      <w:proofErr w:type="gramEnd"/>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4- Tiếp tục thực hiện có hiệu quả Chỉ thị số 24-CT/TW, ngày 15/5/2013 của Bộ Chính trị khoá XI về tiếp tục đẩy mạnh công tác tìm kiếm, quy tập hài cốt liệt sĩ đến năm 2020 và những năm tiếp theo; mở rộng và thúc đẩy hợp tác quốc tế, trao đổi, cung cấp thông tin về liệt sĩ và mộ liệt sĩ. Tập trung đầu tư trang thiết bị, phương tiện vật chất, kỹ thuật, ứng dụng công nghệ thông tin trong công tác tìm kiếm, quy tập hài cốt liệt sĩ và công tác giám định ADN xác định danh tính hài cốt liệt sĩ còn thiếu thông tin.</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5- Kết hợp việc bố trí tăng ngân sách nhà nước với đẩy mạnh huy động, đa dạng hoá các nguồn lực xã hội đối với công tác người có công với cách mạng; gắn trách nhiệm của cấp uỷ, chính quyền địa phương trong việc huy động, quản lý, sử dụng hiệu quả nguồn lực thực hiện chính sách ưu đãi người có công với cách mạng; chú trọng công tác tu bổ, tôn tạo mộ liệt sĩ, nghĩa trang liệt sĩ, các công trình ghi công liệt sĩ; hỗ trợ cải thiện nhà ở, xây dựng, cải tạo, nâng cấp các cơ sở nuôi dưỡng, điều dưỡng cho người có công với cách mạng.</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6- Bằng những việc làm thiết thực, hiệu quả, các tổ chức, cơ quan, đoàn thể, cán bộ, đảng viên, công chức, viên chức, đoàn viên, hội viên và các tầng lớp nhân dân tích cực tham gia có trách nhiệm đối với công tác người có công với cách mạng và phong trào "Toàn dân chăm sóc các gia đình thương binh, liệt sĩ và người có công với cách mạng", ủng hộ quỹ "Đền ơn đáp nghĩa". Thường xuyên quan tâm, động viên, khích lệ, kịp thời biểu dương khen thưởng các thương binh, bệnh binh và gia đình người có công phát huy truyền thống tốt đẹp, tự nỗ lực vươn lên, khắc phục khó khăn tiếp tục đóng góp công sức, trí tuệ vào sự nghiệp xây dựng và bảo vệ Tổ quốc.</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7- Phát huy vai trò của Mặt trận Tổ quốc Việt Nam, các tổ chức chính trị - xã hội, tổ chức xã hội - nghề nghiệp và nhân dân trong công tác chăm sóc người có công với cách mạng. Thực hiện tốt việc giám sát quá trình xây dựng và thực hiện chính sách người có công với cách mạng; thường xuyên quan tâm, nắm bắt tâm tư, nguyện vọng của người có công với cách mạng, kiến nghị với cấp uỷ và cơ quan nhà nước các cấp kịp thời giải quyết các vấn đề liên quan, bảo đảm quyền lợi của người có công với cách mạng.</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lastRenderedPageBreak/>
        <w:t>8- Tổ chức thực hiện</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 Các ban của Đảng, ban cán sự đảng, đảng đoàn, đảng uỷ trực thuộc Trung ương, Ban Bí thư Trung ương Đoàn Thanh niên Cộng sản Hồ Chí Minh, các tỉnh uỷ, thành uỷ tổ chức nghiên cứu, quán triệt Chỉ thị tới cán bộ, đảng viên; đẩy mạnh tuyên truyền trong nhân dân; có kế hoạch, chương trình hành động cụ thể thực hiện Chỉ thị này.</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 Đảng đoàn Quốc hội lãnh đạo nghiên cứu xây dựng, ban hành Pháp lệnh thay thế Pháp lệnh Ưu đãi người có công với cách mạng hiện hành; rà soát sửa đổi, bổ sung, hoàn thiện các văn bản pháp luật khác có liên quan.</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 Ban cán sự đảng Chính phủ chỉ đạo rà soát, sửa đổi, bổ sung, hoàn thiện các văn bản dưới luật, các cơ chế, chính sách; nâng cao năng lực, hiệu lực, hiệu quả quản lý nhà nước đối với công tác người có công với cách mạng.</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 Ban Tuyên giáo Trung ương chỉ đạo các cơ quan thông tin, truyền thông đẩy mạnh công tác tuyên truyền, quán triệt các quan điểm, chủ trương của Đảng, chính sách, pháp luật của Nhà nước về công tác người có công với cách mạng và tình hình triển khai, kết quả thực hiện Chỉ thị.</w:t>
      </w:r>
    </w:p>
    <w:p w:rsidR="00DD5DD0" w:rsidRPr="00DD5DD0" w:rsidRDefault="00DD5DD0" w:rsidP="00DD5DD0">
      <w:pPr>
        <w:spacing w:before="100" w:beforeAutospacing="1" w:after="120" w:line="240" w:lineRule="auto"/>
        <w:jc w:val="both"/>
        <w:rPr>
          <w:rFonts w:eastAsia="Times New Roman" w:cs="Times New Roman"/>
          <w:szCs w:val="28"/>
        </w:rPr>
      </w:pPr>
      <w:r w:rsidRPr="00DD5DD0">
        <w:rPr>
          <w:rFonts w:eastAsia="Times New Roman" w:cs="Times New Roman"/>
          <w:szCs w:val="28"/>
        </w:rPr>
        <w:t>- Giao Ban Dân vận Trung ương chủ trì, phối hợp với Ban cán sự đảng Bộ Lao động - Thương binh và Xã hội thường xuyên theo dõi, kiểm tra, đôn đốc, sơ kết, tổng kết, định kỳ báo cáo Ban Bí thư kết quả thực hiện Chỉ thị này.</w:t>
      </w:r>
    </w:p>
    <w:p w:rsidR="00DD5DD0" w:rsidRPr="00DD5DD0" w:rsidRDefault="00DD5DD0" w:rsidP="00DD5DD0">
      <w:pPr>
        <w:spacing w:before="100" w:beforeAutospacing="1" w:after="120" w:line="240" w:lineRule="auto"/>
        <w:jc w:val="both"/>
        <w:rPr>
          <w:rFonts w:eastAsia="Times New Roman" w:cs="Times New Roman"/>
          <w:szCs w:val="28"/>
        </w:rPr>
      </w:pPr>
      <w:proofErr w:type="gramStart"/>
      <w:r w:rsidRPr="00DD5DD0">
        <w:rPr>
          <w:rFonts w:eastAsia="Times New Roman" w:cs="Times New Roman"/>
          <w:szCs w:val="28"/>
        </w:rPr>
        <w:t>Chỉ thị này phổ biến đến chi bộ.</w:t>
      </w:r>
      <w:proofErr w:type="gramEnd"/>
    </w:p>
    <w:p w:rsidR="00DD5DD0" w:rsidRPr="00DD5DD0" w:rsidRDefault="00DD5DD0" w:rsidP="00DD5DD0">
      <w:pPr>
        <w:spacing w:before="100" w:beforeAutospacing="1" w:after="120" w:line="240" w:lineRule="auto"/>
        <w:rPr>
          <w:rFonts w:eastAsia="Times New Roman" w:cs="Times New Roman"/>
          <w:sz w:val="24"/>
          <w:szCs w:val="24"/>
        </w:rPr>
      </w:pPr>
      <w:r w:rsidRPr="00DD5DD0">
        <w:rPr>
          <w:rFonts w:eastAsia="Times New Roman" w:cs="Times New Roman"/>
          <w:sz w:val="24"/>
          <w:szCs w:val="24"/>
        </w:rPr>
        <w:t> </w:t>
      </w:r>
    </w:p>
    <w:tbl>
      <w:tblPr>
        <w:tblW w:w="0" w:type="auto"/>
        <w:tblCellSpacing w:w="0" w:type="dxa"/>
        <w:tblCellMar>
          <w:left w:w="0" w:type="dxa"/>
          <w:right w:w="0" w:type="dxa"/>
        </w:tblCellMar>
        <w:tblLook w:val="04A0"/>
      </w:tblPr>
      <w:tblGrid>
        <w:gridCol w:w="4068"/>
        <w:gridCol w:w="4788"/>
      </w:tblGrid>
      <w:tr w:rsidR="00DD5DD0" w:rsidRPr="00DD5DD0" w:rsidTr="00DD5DD0">
        <w:trPr>
          <w:tblCellSpacing w:w="0" w:type="dxa"/>
        </w:trPr>
        <w:tc>
          <w:tcPr>
            <w:tcW w:w="4068" w:type="dxa"/>
            <w:tcMar>
              <w:top w:w="0" w:type="dxa"/>
              <w:left w:w="108" w:type="dxa"/>
              <w:bottom w:w="0" w:type="dxa"/>
              <w:right w:w="108" w:type="dxa"/>
            </w:tcMar>
            <w:hideMark/>
          </w:tcPr>
          <w:p w:rsidR="00DD5DD0" w:rsidRPr="00DD5DD0" w:rsidRDefault="00DD5DD0" w:rsidP="00DD5DD0">
            <w:pPr>
              <w:spacing w:before="100" w:beforeAutospacing="1" w:after="120" w:line="240" w:lineRule="auto"/>
              <w:rPr>
                <w:rFonts w:eastAsia="Times New Roman" w:cs="Times New Roman"/>
                <w:sz w:val="24"/>
                <w:szCs w:val="24"/>
              </w:rPr>
            </w:pPr>
            <w:r w:rsidRPr="00DD5DD0">
              <w:rPr>
                <w:rFonts w:eastAsia="Times New Roman" w:cs="Times New Roman"/>
                <w:b/>
                <w:bCs/>
                <w:sz w:val="24"/>
                <w:szCs w:val="24"/>
              </w:rPr>
              <w:t> </w:t>
            </w:r>
          </w:p>
        </w:tc>
        <w:tc>
          <w:tcPr>
            <w:tcW w:w="4788" w:type="dxa"/>
            <w:tcMar>
              <w:top w:w="0" w:type="dxa"/>
              <w:left w:w="108" w:type="dxa"/>
              <w:bottom w:w="0" w:type="dxa"/>
              <w:right w:w="108" w:type="dxa"/>
            </w:tcMar>
            <w:hideMark/>
          </w:tcPr>
          <w:p w:rsidR="00DD5DD0" w:rsidRPr="00DD5DD0" w:rsidRDefault="00DD5DD0" w:rsidP="00DD5DD0">
            <w:pPr>
              <w:spacing w:before="100" w:beforeAutospacing="1" w:after="120" w:line="240" w:lineRule="auto"/>
              <w:jc w:val="center"/>
              <w:rPr>
                <w:rFonts w:eastAsia="Times New Roman" w:cs="Times New Roman"/>
                <w:szCs w:val="28"/>
              </w:rPr>
            </w:pPr>
            <w:r w:rsidRPr="00DD5DD0">
              <w:rPr>
                <w:rFonts w:eastAsia="Times New Roman" w:cs="Times New Roman"/>
                <w:b/>
                <w:bCs/>
                <w:szCs w:val="28"/>
              </w:rPr>
              <w:t>T/M BAN BÍ THƯ</w:t>
            </w:r>
            <w:r w:rsidRPr="00DD5DD0">
              <w:rPr>
                <w:rFonts w:eastAsia="Times New Roman" w:cs="Times New Roman"/>
                <w:b/>
                <w:bCs/>
                <w:szCs w:val="28"/>
              </w:rPr>
              <w:br/>
              <w:t>TỔNG BÍ THƯ</w:t>
            </w:r>
            <w:r w:rsidRPr="00DD5DD0">
              <w:rPr>
                <w:rFonts w:eastAsia="Times New Roman" w:cs="Times New Roman"/>
                <w:b/>
                <w:bCs/>
                <w:szCs w:val="28"/>
              </w:rPr>
              <w:br/>
            </w:r>
            <w:r w:rsidRPr="00DD5DD0">
              <w:rPr>
                <w:rFonts w:eastAsia="Times New Roman" w:cs="Times New Roman"/>
                <w:b/>
                <w:bCs/>
                <w:szCs w:val="28"/>
              </w:rPr>
              <w:br/>
            </w:r>
            <w:r w:rsidRPr="00DD5DD0">
              <w:rPr>
                <w:rFonts w:eastAsia="Times New Roman" w:cs="Times New Roman"/>
                <w:b/>
                <w:bCs/>
                <w:szCs w:val="28"/>
              </w:rPr>
              <w:br/>
            </w:r>
            <w:r w:rsidRPr="00DD5DD0">
              <w:rPr>
                <w:rFonts w:eastAsia="Times New Roman" w:cs="Times New Roman"/>
                <w:b/>
                <w:bCs/>
                <w:szCs w:val="28"/>
              </w:rPr>
              <w:br/>
            </w:r>
            <w:r w:rsidRPr="00DD5DD0">
              <w:rPr>
                <w:rFonts w:eastAsia="Times New Roman" w:cs="Times New Roman"/>
                <w:b/>
                <w:bCs/>
                <w:szCs w:val="28"/>
              </w:rPr>
              <w:br/>
              <w:t>Nguyễn Phú Trọng</w:t>
            </w:r>
          </w:p>
        </w:tc>
      </w:tr>
    </w:tbl>
    <w:p w:rsidR="00D0497D" w:rsidRDefault="00D0497D"/>
    <w:sectPr w:rsidR="00D0497D" w:rsidSect="00DD5DD0">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characterSpacingControl w:val="doNotCompress"/>
  <w:compat/>
  <w:rsids>
    <w:rsidRoot w:val="00DD5DD0"/>
    <w:rsid w:val="00D0497D"/>
    <w:rsid w:val="00D86CE6"/>
    <w:rsid w:val="00DD5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5DD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63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2</cp:revision>
  <dcterms:created xsi:type="dcterms:W3CDTF">2018-11-26T03:39:00Z</dcterms:created>
  <dcterms:modified xsi:type="dcterms:W3CDTF">2018-11-26T03:41:00Z</dcterms:modified>
</cp:coreProperties>
</file>